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华文中宋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eastAsia="华文中宋"/>
          <w:b/>
          <w:color w:val="auto"/>
          <w:kern w:val="0"/>
          <w:sz w:val="44"/>
          <w:szCs w:val="44"/>
          <w:highlight w:val="none"/>
          <w:lang w:val="en-US" w:eastAsia="zh-CN"/>
        </w:rPr>
        <w:t>双柏</w:t>
      </w:r>
      <w:r>
        <w:rPr>
          <w:rFonts w:eastAsia="华文中宋"/>
          <w:b/>
          <w:color w:val="auto"/>
          <w:kern w:val="0"/>
          <w:sz w:val="44"/>
          <w:szCs w:val="44"/>
          <w:highlight w:val="none"/>
        </w:rPr>
        <w:t>县20</w:t>
      </w:r>
      <w:r>
        <w:rPr>
          <w:rFonts w:hint="eastAsia" w:eastAsia="华文中宋"/>
          <w:b/>
          <w:color w:val="auto"/>
          <w:kern w:val="0"/>
          <w:sz w:val="44"/>
          <w:szCs w:val="44"/>
          <w:highlight w:val="none"/>
          <w:lang w:val="en-US" w:eastAsia="zh-CN"/>
        </w:rPr>
        <w:t>23</w:t>
      </w:r>
      <w:r>
        <w:rPr>
          <w:rFonts w:eastAsia="华文中宋"/>
          <w:b/>
          <w:color w:val="auto"/>
          <w:kern w:val="0"/>
          <w:sz w:val="44"/>
          <w:szCs w:val="44"/>
          <w:highlight w:val="none"/>
        </w:rPr>
        <w:t>年“三公”经费</w:t>
      </w:r>
    </w:p>
    <w:p>
      <w:pPr>
        <w:spacing w:line="580" w:lineRule="exact"/>
        <w:jc w:val="center"/>
        <w:rPr>
          <w:rFonts w:eastAsia="华文中宋"/>
          <w:b/>
          <w:color w:val="auto"/>
          <w:kern w:val="0"/>
          <w:sz w:val="44"/>
          <w:szCs w:val="44"/>
          <w:highlight w:val="none"/>
        </w:rPr>
      </w:pPr>
      <w:r>
        <w:rPr>
          <w:rFonts w:eastAsia="华文中宋"/>
          <w:b/>
          <w:color w:val="auto"/>
          <w:kern w:val="0"/>
          <w:sz w:val="44"/>
          <w:szCs w:val="44"/>
          <w:highlight w:val="none"/>
        </w:rPr>
        <w:t>预算安排情况说明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color w:val="auto"/>
          <w:kern w:val="0"/>
          <w:sz w:val="36"/>
          <w:szCs w:val="36"/>
          <w:highlight w:val="none"/>
        </w:rPr>
      </w:pPr>
    </w:p>
    <w:p>
      <w:pPr>
        <w:spacing w:line="580" w:lineRule="exact"/>
        <w:ind w:firstLine="643" w:firstLineChars="200"/>
        <w:rPr>
          <w:rFonts w:hint="eastAsia" w:eastAsia="方正黑体简体"/>
          <w:b/>
          <w:color w:val="auto"/>
          <w:sz w:val="32"/>
          <w:szCs w:val="32"/>
          <w:highlight w:val="none"/>
        </w:rPr>
      </w:pPr>
      <w:r>
        <w:rPr>
          <w:rFonts w:eastAsia="方正黑体简体"/>
          <w:b/>
          <w:color w:val="auto"/>
          <w:sz w:val="32"/>
          <w:szCs w:val="32"/>
          <w:highlight w:val="none"/>
        </w:rPr>
        <w:t>一、20</w:t>
      </w:r>
      <w:r>
        <w:rPr>
          <w:rFonts w:hint="eastAsia" w:eastAsia="方正黑体简体"/>
          <w:b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eastAsia="方正黑体简体"/>
          <w:b/>
          <w:color w:val="auto"/>
          <w:sz w:val="32"/>
          <w:szCs w:val="32"/>
          <w:highlight w:val="none"/>
        </w:rPr>
        <w:t>年“三公”经费预算情况</w:t>
      </w:r>
    </w:p>
    <w:p>
      <w:pPr>
        <w:spacing w:line="580" w:lineRule="exact"/>
        <w:ind w:firstLine="640" w:firstLineChars="200"/>
        <w:rPr>
          <w:rFonts w:eastAsia="方正黑体简体"/>
          <w:b/>
          <w:color w:val="auto"/>
          <w:sz w:val="32"/>
          <w:szCs w:val="32"/>
          <w:highlight w:val="none"/>
        </w:rPr>
      </w:pP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eastAsia="zh-CN"/>
        </w:rPr>
        <w:t>2023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年 “三公”经费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eastAsia="zh-CN"/>
        </w:rPr>
        <w:t>年初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预算数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1161.18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万元，比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eastAsia="zh-CN"/>
        </w:rPr>
        <w:t>2022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年预算数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1154.38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增长6.8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增长0.59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%，其中：因公出国（境）费用为0，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与上年持平无变化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；公务接待费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269.77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405.93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136.16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万元，下降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33.54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%；公务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eastAsia="zh-CN"/>
        </w:rPr>
        <w:t>用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车运行维护费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891.41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748.45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增加142.96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增长19.10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%；公务用车购置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50.44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color w:val="auto"/>
          <w:kern w:val="0"/>
          <w:sz w:val="32"/>
          <w:szCs w:val="32"/>
          <w:highlight w:val="none"/>
          <w:lang w:val="en-US" w:eastAsia="zh-CN"/>
        </w:rPr>
        <w:t>增加30.44</w:t>
      </w:r>
      <w:r>
        <w:rPr>
          <w:rFonts w:eastAsia="方正仿宋简体"/>
          <w:color w:val="auto"/>
          <w:kern w:val="0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eastAsia="方正黑体简体"/>
          <w:b/>
          <w:color w:val="auto"/>
          <w:sz w:val="32"/>
          <w:szCs w:val="32"/>
          <w:highlight w:val="none"/>
        </w:rPr>
      </w:pPr>
      <w:r>
        <w:rPr>
          <w:rFonts w:eastAsia="方正黑体简体"/>
          <w:color w:val="auto"/>
          <w:kern w:val="0"/>
          <w:sz w:val="32"/>
          <w:szCs w:val="32"/>
          <w:highlight w:val="none"/>
        </w:rPr>
        <w:t>二、</w:t>
      </w:r>
      <w:r>
        <w:rPr>
          <w:rFonts w:eastAsia="方正黑体简体"/>
          <w:b/>
          <w:color w:val="auto"/>
          <w:sz w:val="32"/>
          <w:szCs w:val="32"/>
          <w:highlight w:val="none"/>
        </w:rPr>
        <w:t>20</w:t>
      </w:r>
      <w:r>
        <w:rPr>
          <w:rFonts w:hint="eastAsia" w:eastAsia="方正黑体简体"/>
          <w:b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eastAsia="方正黑体简体"/>
          <w:b/>
          <w:color w:val="auto"/>
          <w:sz w:val="32"/>
          <w:szCs w:val="32"/>
          <w:highlight w:val="none"/>
        </w:rPr>
        <w:t>年“三公”经费预算</w:t>
      </w:r>
      <w:r>
        <w:rPr>
          <w:rFonts w:hint="eastAsia" w:eastAsia="方正黑体简体"/>
          <w:b/>
          <w:color w:val="auto"/>
          <w:sz w:val="32"/>
          <w:szCs w:val="32"/>
          <w:highlight w:val="none"/>
          <w:lang w:eastAsia="zh-CN"/>
        </w:rPr>
        <w:t>较202</w:t>
      </w:r>
      <w:r>
        <w:rPr>
          <w:rFonts w:hint="eastAsia" w:eastAsia="方正黑体简体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eastAsia="方正黑体简体"/>
          <w:b/>
          <w:color w:val="auto"/>
          <w:sz w:val="32"/>
          <w:szCs w:val="32"/>
          <w:highlight w:val="none"/>
        </w:rPr>
        <w:t>年“三公”经费预算增减变化情况说明</w:t>
      </w:r>
    </w:p>
    <w:p>
      <w:pPr>
        <w:spacing w:line="580" w:lineRule="exact"/>
        <w:ind w:firstLine="640" w:firstLineChars="200"/>
        <w:rPr>
          <w:rFonts w:eastAsia="方正仿宋简体"/>
          <w:color w:val="auto"/>
          <w:sz w:val="32"/>
          <w:szCs w:val="32"/>
          <w:highlight w:val="none"/>
        </w:rPr>
      </w:pP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2023年“三公”经费预算编制秉持以下原则：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一是</w:t>
      </w:r>
      <w:r>
        <w:rPr>
          <w:rFonts w:hint="eastAsia" w:eastAsia="方正仿宋简体"/>
          <w:color w:val="auto"/>
          <w:sz w:val="32"/>
          <w:szCs w:val="32"/>
          <w:highlight w:val="none"/>
          <w:lang w:eastAsia="zh-CN"/>
        </w:rPr>
        <w:t>2023</w:t>
      </w:r>
      <w:r>
        <w:rPr>
          <w:rFonts w:eastAsia="方正仿宋简体"/>
          <w:color w:val="auto"/>
          <w:sz w:val="32"/>
          <w:szCs w:val="32"/>
          <w:highlight w:val="none"/>
        </w:rPr>
        <w:t>年度因公出国（境）费用支出预算实行零增长；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二是</w:t>
      </w:r>
      <w:r>
        <w:rPr>
          <w:rFonts w:eastAsia="方正仿宋简体"/>
          <w:color w:val="auto"/>
          <w:sz w:val="32"/>
          <w:szCs w:val="32"/>
          <w:highlight w:val="none"/>
        </w:rPr>
        <w:t>严格控制公务接待费用支出预算。县级各部门严格按照公务接待管理办法，切实规范接待范围和标准，简化接待程序，严格控制陪餐人数，切实控制接待费用支出；三是严格执行公务用车编制管理及配备使用标准。</w:t>
      </w:r>
    </w:p>
    <w:p>
      <w:pPr>
        <w:spacing w:line="580" w:lineRule="exact"/>
        <w:ind w:firstLine="640" w:firstLineChars="200"/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2023年“三公”</w:t>
      </w:r>
      <w:r>
        <w:rPr>
          <w:rFonts w:eastAsia="方正仿宋简体"/>
          <w:color w:val="auto"/>
          <w:sz w:val="32"/>
          <w:szCs w:val="32"/>
          <w:highlight w:val="none"/>
        </w:rPr>
        <w:t>预算</w:t>
      </w:r>
      <w:r>
        <w:rPr>
          <w:rFonts w:hint="eastAsia" w:eastAsia="方正仿宋简体"/>
          <w:color w:val="auto"/>
          <w:sz w:val="32"/>
          <w:szCs w:val="32"/>
          <w:highlight w:val="none"/>
          <w:lang w:eastAsia="zh-CN"/>
        </w:rPr>
        <w:t>增减变化情况及原因是如下：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2023年按照上级安排，“三公”经费预算按照全口径预算编制，即除财政拨款安排的本级资金外，还将上级转移支付、单位资金等纳入编制范畴，因此2023年预算数较2022年有所增长。具体为：因公出国（境）费0万元，与上年持平无变化；</w:t>
      </w:r>
      <w:r>
        <w:rPr>
          <w:rFonts w:hint="eastAsia" w:eastAsia="方正仿宋简体"/>
          <w:color w:val="auto"/>
          <w:sz w:val="32"/>
          <w:szCs w:val="32"/>
          <w:highlight w:val="none"/>
          <w:lang w:eastAsia="zh-CN"/>
        </w:rPr>
        <w:t>公务用车购置费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50.44万元，较上年预算数20万元增加30.44万元，</w:t>
      </w:r>
      <w:r>
        <w:rPr>
          <w:rFonts w:eastAsia="方正仿宋简体"/>
          <w:color w:val="auto"/>
          <w:sz w:val="32"/>
          <w:szCs w:val="32"/>
          <w:highlight w:val="none"/>
        </w:rPr>
        <w:t>安排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公务用车运行维护费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840.97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简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比上年预算数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728.45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简体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112.52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万元，增长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15.45</w:t>
      </w:r>
      <w:r>
        <w:rPr>
          <w:rFonts w:hint="eastAsia" w:eastAsia="方正仿宋简体"/>
          <w:color w:val="auto"/>
          <w:sz w:val="32"/>
          <w:szCs w:val="32"/>
          <w:highlight w:val="none"/>
        </w:rPr>
        <w:t>%</w:t>
      </w:r>
      <w:r>
        <w:rPr>
          <w:rFonts w:eastAsia="方正仿宋简体"/>
          <w:color w:val="auto"/>
          <w:sz w:val="32"/>
          <w:szCs w:val="32"/>
          <w:highlight w:val="none"/>
        </w:rPr>
        <w:t>，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增长的</w:t>
      </w:r>
      <w:r>
        <w:rPr>
          <w:rFonts w:eastAsia="方正仿宋简体"/>
          <w:color w:val="auto"/>
          <w:sz w:val="32"/>
          <w:szCs w:val="32"/>
          <w:highlight w:val="none"/>
        </w:rPr>
        <w:t>主要原因是</w:t>
      </w: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各单位通过对2022年执行情况的评估后，发现公车维护费无法满足本单位实际需求，因而在进行2023年预算编制时，从上级转移支付和单位资金中细化出部分经费用于公车维护、保养，因而此项内容有所增长，因而出现增加。公务接待费269.77万元，较上年预算数405.93万元减少136.16万元，下降33.54%，主要原因是2022年继续执行公务接待费“只减不增”的政策，单位减少公务接待费开支，因而预算情况较2023年有所下降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eastAsia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eastAsia="方正仿宋简体"/>
          <w:color w:val="auto"/>
          <w:sz w:val="32"/>
          <w:szCs w:val="32"/>
          <w:highlight w:val="none"/>
          <w:lang w:val="en-US" w:eastAsia="zh-CN"/>
        </w:rPr>
        <w:t>2023年，双柏县将继续按照要求缩紧财政过日子，继续削减不必要的开支，把“好钢”用在保“三保”的刀刃上，积极保障各项刚性需求，加大对民生保障的投入力度</w:t>
      </w:r>
      <w:r>
        <w:rPr>
          <w:rFonts w:eastAsia="方正仿宋简体"/>
          <w:color w:val="auto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OTE4MWQ4YmQwN2I4N2ZjYzI0YTc2ZjllN2YxMWUifQ=="/>
    <w:docVar w:name="KSO_WPS_MARK_KEY" w:val="91411daa-608e-44f8-8f4f-f39beaeaa6fa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6D5621"/>
    <w:rsid w:val="008235F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126516A"/>
    <w:rsid w:val="017E6004"/>
    <w:rsid w:val="021159D2"/>
    <w:rsid w:val="022127E4"/>
    <w:rsid w:val="022B0D12"/>
    <w:rsid w:val="03A61416"/>
    <w:rsid w:val="03CE625B"/>
    <w:rsid w:val="03DE4E64"/>
    <w:rsid w:val="0458031C"/>
    <w:rsid w:val="051F2D1F"/>
    <w:rsid w:val="084A5424"/>
    <w:rsid w:val="089F0B59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95A0F9F"/>
    <w:rsid w:val="1A494271"/>
    <w:rsid w:val="1A59268E"/>
    <w:rsid w:val="1A91305E"/>
    <w:rsid w:val="1A9E1A91"/>
    <w:rsid w:val="1AAC02BC"/>
    <w:rsid w:val="1BC6003F"/>
    <w:rsid w:val="1E03149F"/>
    <w:rsid w:val="1E0541F7"/>
    <w:rsid w:val="1FC82110"/>
    <w:rsid w:val="247B284F"/>
    <w:rsid w:val="248E3C9F"/>
    <w:rsid w:val="253D7AAE"/>
    <w:rsid w:val="26A03DFD"/>
    <w:rsid w:val="28AC5440"/>
    <w:rsid w:val="29107FEA"/>
    <w:rsid w:val="2A5A6E0B"/>
    <w:rsid w:val="2DA2398E"/>
    <w:rsid w:val="2FFE3EA8"/>
    <w:rsid w:val="30493643"/>
    <w:rsid w:val="32A51D78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9BC62F5"/>
    <w:rsid w:val="4D691599"/>
    <w:rsid w:val="4D712A9D"/>
    <w:rsid w:val="4EA45816"/>
    <w:rsid w:val="4F9F3105"/>
    <w:rsid w:val="538D68EB"/>
    <w:rsid w:val="53DA45BB"/>
    <w:rsid w:val="546303FA"/>
    <w:rsid w:val="556F0EA6"/>
    <w:rsid w:val="56072137"/>
    <w:rsid w:val="56DD11F5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D27373"/>
    <w:rsid w:val="5EF01C33"/>
    <w:rsid w:val="5FE1703E"/>
    <w:rsid w:val="600F6BE3"/>
    <w:rsid w:val="603806B8"/>
    <w:rsid w:val="603F58EA"/>
    <w:rsid w:val="60597EF3"/>
    <w:rsid w:val="611F6D31"/>
    <w:rsid w:val="62633836"/>
    <w:rsid w:val="63E45498"/>
    <w:rsid w:val="64A41EB4"/>
    <w:rsid w:val="6510786C"/>
    <w:rsid w:val="65213AD4"/>
    <w:rsid w:val="65D56253"/>
    <w:rsid w:val="65F57816"/>
    <w:rsid w:val="663B373D"/>
    <w:rsid w:val="666550E4"/>
    <w:rsid w:val="681A2927"/>
    <w:rsid w:val="6B3A40D7"/>
    <w:rsid w:val="6C444F21"/>
    <w:rsid w:val="6D495A55"/>
    <w:rsid w:val="6E640F33"/>
    <w:rsid w:val="6E797ED2"/>
    <w:rsid w:val="6E974D97"/>
    <w:rsid w:val="6EF64E83"/>
    <w:rsid w:val="709B0C95"/>
    <w:rsid w:val="73093507"/>
    <w:rsid w:val="73B6687E"/>
    <w:rsid w:val="73DA49FF"/>
    <w:rsid w:val="74394EAD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1C5B44"/>
    <w:rsid w:val="7E8042A6"/>
    <w:rsid w:val="7EA576CB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790</Words>
  <Characters>955</Characters>
  <Lines>5</Lines>
  <Paragraphs>1</Paragraphs>
  <TotalTime>21</TotalTime>
  <ScaleCrop>false</ScaleCrop>
  <LinksUpToDate>false</LinksUpToDate>
  <CharactersWithSpaces>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Administrator</cp:lastModifiedBy>
  <cp:lastPrinted>2020-12-21T06:44:00Z</cp:lastPrinted>
  <dcterms:modified xsi:type="dcterms:W3CDTF">2024-10-10T06:52:34Z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FCAD18C9FFC547A4AE523DB4401932CB</vt:lpwstr>
  </property>
</Properties>
</file>