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2486A">
      <w:pPr>
        <w:spacing w:line="46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14:paraId="0DFB331C">
      <w:pPr>
        <w:spacing w:line="578" w:lineRule="exact"/>
        <w:rPr>
          <w:rFonts w:ascii="仿宋_GB2312" w:eastAsia="仿宋_GB2312"/>
          <w:sz w:val="32"/>
          <w:szCs w:val="32"/>
        </w:rPr>
      </w:pPr>
      <w:r>
        <w:pict>
          <v:shape id="文本框 22" o:spid="_x0000_s1027" o:spt="202" type="#_x0000_t202" style="position:absolute;left:0pt;margin-left:-8.85pt;margin-top:10.1pt;height:109.2pt;width:476.85pt;z-index:251660288;mso-width-relative:page;mso-height-relative:page;" filled="f" stroked="f" coordsize="21600,21600">
            <v:path/>
            <v:fill on="f" focussize="0,0"/>
            <v:stroke on="f" joinstyle="miter"/>
            <v:imagedata o:title=""/>
            <o:lock v:ext="edit"/>
            <v:textbox>
              <w:txbxContent>
                <w:p w14:paraId="1A78326F">
                  <w:pPr>
                    <w:rPr>
                      <w:rFonts w:hint="eastAsia" w:ascii="方正小标宋_GBK" w:hAnsi="方正小标宋_GBK" w:eastAsia="方正小标宋_GBK" w:cs="方正小标宋_GBK"/>
                      <w:color w:val="FF0000"/>
                      <w:w w:val="80"/>
                      <w:sz w:val="144"/>
                      <w:szCs w:val="144"/>
                    </w:rPr>
                  </w:pPr>
                  <w:r>
                    <w:rPr>
                      <w:rFonts w:hint="eastAsia" w:ascii="方正小标宋_GBK" w:hAnsi="方正小标宋_GBK" w:eastAsia="方正小标宋_GBK" w:cs="方正小标宋_GBK"/>
                      <w:color w:val="FF0000"/>
                      <w:w w:val="80"/>
                      <w:sz w:val="144"/>
                      <w:szCs w:val="144"/>
                    </w:rPr>
                    <w:t>双柏县财政局文件</w:t>
                  </w:r>
                </w:p>
              </w:txbxContent>
            </v:textbox>
          </v:shape>
        </w:pict>
      </w:r>
    </w:p>
    <w:p w14:paraId="70699E16">
      <w:pPr>
        <w:spacing w:line="578" w:lineRule="exact"/>
        <w:rPr>
          <w:rFonts w:ascii="仿宋_GB2312" w:eastAsia="仿宋_GB2312"/>
          <w:sz w:val="32"/>
          <w:szCs w:val="32"/>
        </w:rPr>
      </w:pPr>
    </w:p>
    <w:p w14:paraId="5337A2CB">
      <w:pPr>
        <w:spacing w:line="578" w:lineRule="exact"/>
        <w:rPr>
          <w:rFonts w:ascii="仿宋_GB2312" w:eastAsia="仿宋_GB2312"/>
          <w:sz w:val="32"/>
          <w:szCs w:val="32"/>
          <w:shd w:val="pct10" w:color="auto" w:fill="FFFFFF"/>
        </w:rPr>
      </w:pPr>
    </w:p>
    <w:p w14:paraId="216AC444">
      <w:pPr>
        <w:spacing w:line="578" w:lineRule="exact"/>
        <w:rPr>
          <w:rFonts w:ascii="仿宋_GB2312" w:eastAsia="仿宋_GB2312"/>
          <w:sz w:val="32"/>
          <w:szCs w:val="32"/>
        </w:rPr>
      </w:pPr>
    </w:p>
    <w:p w14:paraId="5ED446B0">
      <w:pPr>
        <w:spacing w:line="578" w:lineRule="exact"/>
        <w:rPr>
          <w:rFonts w:ascii="仿宋_GB2312" w:eastAsia="仿宋_GB2312"/>
          <w:sz w:val="32"/>
          <w:szCs w:val="32"/>
        </w:rPr>
      </w:pPr>
    </w:p>
    <w:p w14:paraId="49810B97">
      <w:pPr>
        <w:spacing w:line="578"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双财农〔20</w:t>
      </w:r>
      <w:r>
        <w:rPr>
          <w:rFonts w:hint="eastAsia" w:ascii="方正仿宋_GBK" w:hAnsi="方正仿宋_GBK" w:eastAsia="方正仿宋_GBK" w:cs="方正仿宋_GBK"/>
          <w:sz w:val="32"/>
          <w:szCs w:val="32"/>
          <w:lang w:val="en-US" w:eastAsia="zh-CN"/>
        </w:rPr>
        <w:t>25</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18</w:t>
      </w:r>
      <w:r>
        <w:rPr>
          <w:rFonts w:hint="eastAsia" w:ascii="方正仿宋_GBK" w:hAnsi="方正仿宋_GBK" w:eastAsia="方正仿宋_GBK" w:cs="方正仿宋_GBK"/>
          <w:sz w:val="32"/>
          <w:szCs w:val="32"/>
        </w:rPr>
        <w:t>号</w:t>
      </w:r>
    </w:p>
    <w:p w14:paraId="73A9F6D7">
      <w:pPr>
        <w:spacing w:line="578" w:lineRule="exact"/>
        <w:rPr>
          <w:rFonts w:ascii="仿宋_GB2312" w:eastAsia="仿宋_GB2312"/>
          <w:sz w:val="32"/>
          <w:szCs w:val="32"/>
        </w:rPr>
      </w:pPr>
      <w:r>
        <w:pict>
          <v:line id="直线 23" o:spid="_x0000_s1026" o:spt="20" style="position:absolute;left:0pt;margin-left:-8.85pt;margin-top:10.6pt;height:0pt;width:476.85pt;z-index:251659264;mso-width-relative:page;mso-height-relative:page;" filled="t" stroked="t" coordsize="21600,21600">
            <v:path arrowok="t"/>
            <v:fill on="t" focussize="0,0"/>
            <v:stroke weight="3pt" color="#FF0000"/>
            <v:imagedata o:title=""/>
            <o:lock v:ext="edit"/>
          </v:line>
        </w:pict>
      </w:r>
    </w:p>
    <w:p w14:paraId="4D857BD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lang w:val="en-US" w:eastAsia="zh-CN"/>
        </w:rPr>
        <w:t>双柏县财政局</w:t>
      </w:r>
      <w:r>
        <w:rPr>
          <w:rFonts w:hint="eastAsia" w:ascii="方正小标宋简体" w:hAnsi="方正小标宋简体" w:eastAsia="方正小标宋简体" w:cs="方正小标宋简体"/>
          <w:b/>
          <w:sz w:val="44"/>
          <w:szCs w:val="44"/>
        </w:rPr>
        <w:t>关于</w:t>
      </w:r>
      <w:r>
        <w:rPr>
          <w:rFonts w:hint="eastAsia" w:ascii="方正小标宋简体" w:hAnsi="方正小标宋简体" w:eastAsia="方正小标宋简体" w:cs="方正小标宋简体"/>
          <w:b/>
          <w:sz w:val="44"/>
          <w:szCs w:val="44"/>
          <w:lang w:eastAsia="zh-CN"/>
        </w:rPr>
        <w:t>提前</w:t>
      </w:r>
      <w:r>
        <w:rPr>
          <w:rFonts w:hint="eastAsia" w:ascii="方正小标宋简体" w:hAnsi="方正小标宋简体" w:eastAsia="方正小标宋简体" w:cs="方正小标宋简体"/>
          <w:b/>
          <w:sz w:val="44"/>
          <w:szCs w:val="44"/>
        </w:rPr>
        <w:t>下达</w:t>
      </w:r>
      <w:r>
        <w:rPr>
          <w:rFonts w:hint="eastAsia" w:ascii="方正小标宋简体" w:hAnsi="方正小标宋简体" w:eastAsia="方正小标宋简体" w:cs="方正小标宋简体"/>
          <w:b/>
          <w:sz w:val="44"/>
          <w:szCs w:val="44"/>
          <w:lang w:eastAsia="zh-CN"/>
        </w:rPr>
        <w:t>双柏县农业农村局</w:t>
      </w:r>
      <w:r>
        <w:rPr>
          <w:rFonts w:hint="eastAsia" w:ascii="方正小标宋简体" w:hAnsi="方正小标宋简体" w:eastAsia="方正小标宋简体" w:cs="方正小标宋简体"/>
          <w:b/>
          <w:sz w:val="44"/>
          <w:szCs w:val="44"/>
          <w:lang w:val="en-US" w:eastAsia="zh-CN"/>
        </w:rPr>
        <w:t>2025年中央农业相关转移支付</w:t>
      </w:r>
      <w:r>
        <w:rPr>
          <w:rFonts w:hint="eastAsia" w:ascii="方正小标宋简体" w:hAnsi="方正小标宋简体" w:eastAsia="方正小标宋简体" w:cs="方正小标宋简体"/>
          <w:b/>
          <w:sz w:val="44"/>
          <w:szCs w:val="44"/>
        </w:rPr>
        <w:t>资金的通知</w:t>
      </w:r>
    </w:p>
    <w:p w14:paraId="5B4ACB41">
      <w:pPr>
        <w:tabs>
          <w:tab w:val="right" w:pos="8844"/>
        </w:tabs>
        <w:spacing w:line="560" w:lineRule="exact"/>
        <w:ind w:left="1319" w:leftChars="209" w:hanging="880" w:hangingChars="200"/>
        <w:jc w:val="left"/>
        <w:rPr>
          <w:rFonts w:hint="eastAsia" w:ascii="方正小标宋_GBK" w:hAnsi="方正小标宋_GBK" w:eastAsia="方正小标宋_GBK" w:cs="方正小标宋_GBK"/>
          <w:bCs/>
          <w:sz w:val="44"/>
          <w:lang w:val="en-US" w:eastAsia="zh-CN"/>
        </w:rPr>
      </w:pPr>
    </w:p>
    <w:p w14:paraId="709B6710">
      <w:pPr>
        <w:tabs>
          <w:tab w:val="right" w:pos="8844"/>
        </w:tabs>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双柏县农业农村局</w:t>
      </w:r>
      <w:r>
        <w:rPr>
          <w:rFonts w:hint="eastAsia" w:ascii="方正仿宋简体" w:hAnsi="方正仿宋简体" w:eastAsia="方正仿宋简体" w:cs="方正仿宋简体"/>
          <w:sz w:val="32"/>
          <w:szCs w:val="32"/>
        </w:rPr>
        <w:t>：</w:t>
      </w:r>
    </w:p>
    <w:p w14:paraId="18F92E9A">
      <w:pPr>
        <w:tabs>
          <w:tab w:val="right" w:pos="8844"/>
        </w:tabs>
        <w:spacing w:line="500" w:lineRule="exact"/>
        <w:ind w:firstLine="640"/>
        <w:rPr>
          <w:rFonts w:hint="eastAsia" w:ascii="方正仿宋简体" w:hAnsi="方正仿宋简体" w:eastAsia="方正仿宋简体" w:cs="方正仿宋简体"/>
          <w:w w:val="100"/>
          <w:sz w:val="32"/>
          <w:szCs w:val="32"/>
          <w:lang w:eastAsia="zh-CN"/>
        </w:rPr>
      </w:pPr>
      <w:r>
        <w:rPr>
          <w:rFonts w:hint="eastAsia" w:ascii="方正仿宋简体" w:hAnsi="方正仿宋简体" w:eastAsia="方正仿宋简体" w:cs="方正仿宋简体"/>
          <w:sz w:val="32"/>
          <w:szCs w:val="32"/>
        </w:rPr>
        <w:t>根据《</w:t>
      </w:r>
      <w:r>
        <w:rPr>
          <w:rFonts w:hint="eastAsia" w:ascii="方正仿宋简体" w:hAnsi="方正仿宋简体" w:eastAsia="方正仿宋简体" w:cs="方正仿宋简体"/>
          <w:sz w:val="32"/>
          <w:szCs w:val="32"/>
          <w:lang w:eastAsia="zh-CN"/>
        </w:rPr>
        <w:t>楚雄州财政局</w:t>
      </w:r>
      <w:r>
        <w:rPr>
          <w:rFonts w:hint="eastAsia" w:ascii="方正仿宋简体" w:hAnsi="方正仿宋简体" w:eastAsia="方正仿宋简体" w:cs="方正仿宋简体"/>
          <w:bCs/>
          <w:sz w:val="32"/>
          <w:szCs w:val="32"/>
          <w:lang w:eastAsia="zh-CN"/>
        </w:rPr>
        <w:t>关于提前下达202</w:t>
      </w:r>
      <w:r>
        <w:rPr>
          <w:rFonts w:hint="eastAsia" w:ascii="方正仿宋简体" w:hAnsi="方正仿宋简体" w:eastAsia="方正仿宋简体" w:cs="方正仿宋简体"/>
          <w:bCs/>
          <w:sz w:val="32"/>
          <w:szCs w:val="32"/>
          <w:lang w:val="en-US" w:eastAsia="zh-CN"/>
        </w:rPr>
        <w:t>5</w:t>
      </w:r>
      <w:r>
        <w:rPr>
          <w:rFonts w:hint="eastAsia" w:ascii="方正仿宋简体" w:hAnsi="方正仿宋简体" w:eastAsia="方正仿宋简体" w:cs="方正仿宋简体"/>
          <w:bCs/>
          <w:sz w:val="32"/>
          <w:szCs w:val="32"/>
          <w:lang w:eastAsia="zh-CN"/>
        </w:rPr>
        <w:t>年中央农业相关转移支付资金的通知</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（楚财农</w:t>
      </w: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168号</w:t>
      </w:r>
      <w:r>
        <w:rPr>
          <w:rFonts w:hint="eastAsia" w:ascii="方正仿宋简体" w:hAnsi="方正仿宋简体" w:eastAsia="方正仿宋简体" w:cs="方正仿宋简体"/>
          <w:sz w:val="32"/>
          <w:szCs w:val="32"/>
          <w:lang w:eastAsia="zh-CN"/>
        </w:rPr>
        <w:t>）的要求，经单位领导审核同意，</w:t>
      </w:r>
      <w:r>
        <w:rPr>
          <w:rFonts w:hint="eastAsia" w:ascii="方正仿宋简体" w:hAnsi="方正仿宋简体" w:eastAsia="方正仿宋简体" w:cs="方正仿宋简体"/>
          <w:sz w:val="32"/>
          <w:szCs w:val="32"/>
        </w:rPr>
        <w:t>现</w:t>
      </w:r>
      <w:r>
        <w:rPr>
          <w:rFonts w:hint="eastAsia" w:ascii="方正仿宋简体" w:hAnsi="方正仿宋简体" w:eastAsia="方正仿宋简体" w:cs="方正仿宋简体"/>
          <w:sz w:val="32"/>
          <w:szCs w:val="32"/>
          <w:lang w:eastAsia="zh-CN"/>
        </w:rPr>
        <w:t>将</w:t>
      </w:r>
      <w:r>
        <w:rPr>
          <w:rFonts w:hint="eastAsia" w:ascii="方正仿宋简体" w:hAnsi="方正仿宋简体" w:eastAsia="方正仿宋简体" w:cs="方正仿宋简体"/>
          <w:sz w:val="32"/>
          <w:szCs w:val="32"/>
          <w:lang w:val="en-US" w:eastAsia="zh-CN"/>
        </w:rPr>
        <w:t>2025年中央农业相关转</w:t>
      </w:r>
      <w:r>
        <w:rPr>
          <w:rFonts w:hint="eastAsia" w:ascii="方正仿宋简体" w:hAnsi="方正仿宋简体" w:eastAsia="方正仿宋简体" w:cs="方正仿宋简体"/>
          <w:sz w:val="32"/>
          <w:szCs w:val="32"/>
          <w:lang w:eastAsia="zh-CN"/>
        </w:rPr>
        <w:t>移支付资金</w:t>
      </w:r>
      <w:r>
        <w:rPr>
          <w:rFonts w:hint="eastAsia" w:ascii="方正仿宋简体" w:hAnsi="方正仿宋简体" w:eastAsia="方正仿宋简体" w:cs="方正仿宋简体"/>
          <w:bCs/>
          <w:sz w:val="32"/>
          <w:szCs w:val="32"/>
          <w:lang w:val="en-US" w:eastAsia="zh-CN"/>
        </w:rPr>
        <w:t>4503.975万元</w:t>
      </w:r>
      <w:r>
        <w:rPr>
          <w:rFonts w:hint="eastAsia" w:ascii="方正仿宋简体" w:hAnsi="方正仿宋简体" w:eastAsia="方正仿宋简体" w:cs="方正仿宋简体"/>
          <w:sz w:val="32"/>
          <w:szCs w:val="32"/>
          <w:lang w:eastAsia="zh-CN"/>
        </w:rPr>
        <w:t>下达给你局</w:t>
      </w:r>
      <w:r>
        <w:rPr>
          <w:rFonts w:hint="eastAsia" w:ascii="方正仿宋简体" w:hAnsi="方正仿宋简体" w:eastAsia="方正仿宋简体" w:cs="方正仿宋简体"/>
          <w:w w:val="100"/>
          <w:sz w:val="32"/>
          <w:szCs w:val="32"/>
          <w:lang w:eastAsia="zh-CN"/>
        </w:rPr>
        <w:t>（具体分配明细及类款项见附件1）。并就有关事项通知如下：</w:t>
      </w:r>
    </w:p>
    <w:p w14:paraId="600C60BE">
      <w:pPr>
        <w:numPr>
          <w:ilvl w:val="0"/>
          <w:numId w:val="0"/>
        </w:numPr>
        <w:spacing w:line="578" w:lineRule="exact"/>
        <w:ind w:firstLine="643" w:firstLineChars="200"/>
        <w:rPr>
          <w:rFonts w:hint="eastAsia" w:ascii="方正仿宋简体" w:hAnsi="方正仿宋简体" w:eastAsia="方正仿宋简体" w:cs="方正仿宋简体"/>
          <w:sz w:val="32"/>
          <w:szCs w:val="32"/>
          <w:lang w:eastAsia="zh-CN"/>
        </w:rPr>
      </w:pPr>
      <w:r>
        <w:rPr>
          <w:rFonts w:hint="eastAsia" w:ascii="方正黑体简体" w:hAnsi="方正黑体简体" w:eastAsia="方正黑体简体" w:cs="方正黑体简体"/>
          <w:b/>
          <w:bCs/>
          <w:sz w:val="32"/>
          <w:szCs w:val="32"/>
          <w:lang w:eastAsia="zh-CN"/>
        </w:rPr>
        <w:t>一、加强</w:t>
      </w:r>
      <w:r>
        <w:rPr>
          <w:rFonts w:hint="eastAsia" w:ascii="方正黑体简体" w:hAnsi="方正黑体简体" w:eastAsia="方正黑体简体" w:cs="方正黑体简体"/>
          <w:b/>
          <w:bCs/>
          <w:sz w:val="32"/>
          <w:szCs w:val="32"/>
        </w:rPr>
        <w:t>资金</w:t>
      </w:r>
      <w:r>
        <w:rPr>
          <w:rFonts w:hint="eastAsia" w:ascii="方正黑体简体" w:hAnsi="方正黑体简体" w:eastAsia="方正黑体简体" w:cs="方正黑体简体"/>
          <w:b/>
          <w:bCs/>
          <w:sz w:val="32"/>
          <w:szCs w:val="32"/>
          <w:lang w:eastAsia="zh-CN"/>
        </w:rPr>
        <w:t>监督</w:t>
      </w:r>
      <w:r>
        <w:rPr>
          <w:rFonts w:hint="eastAsia" w:ascii="方正黑体简体" w:hAnsi="方正黑体简体" w:eastAsia="方正黑体简体" w:cs="方正黑体简体"/>
          <w:b/>
          <w:bCs/>
          <w:sz w:val="32"/>
          <w:szCs w:val="32"/>
        </w:rPr>
        <w:t>。</w:t>
      </w:r>
      <w:r>
        <w:rPr>
          <w:rFonts w:hint="eastAsia" w:ascii="方正仿宋简体" w:hAnsi="方正仿宋简体" w:eastAsia="方正仿宋简体" w:cs="方正仿宋简体"/>
          <w:sz w:val="32"/>
          <w:szCs w:val="32"/>
          <w:lang w:eastAsia="zh-CN"/>
        </w:rPr>
        <w:t>按照《财政部</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lang w:eastAsia="zh-CN"/>
        </w:rPr>
        <w:t>农业农村部关于印发农业相关转移支付资金管理办法的通知》(云财农〔2023〕11号)、《财政部</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lang w:eastAsia="zh-CN"/>
        </w:rPr>
        <w:t>农业农村部关于印发</w:t>
      </w:r>
      <w:r>
        <w:rPr>
          <w:rFonts w:hint="eastAsia" w:ascii="方正仿宋简体" w:hAnsi="方正仿宋简体" w:eastAsia="方正仿宋简体" w:cs="方正仿宋简体"/>
          <w:sz w:val="32"/>
          <w:szCs w:val="32"/>
          <w:lang w:val="en-US" w:eastAsia="zh-CN"/>
        </w:rPr>
        <w:t>&lt;</w:t>
      </w:r>
      <w:r>
        <w:rPr>
          <w:rFonts w:hint="eastAsia" w:ascii="方正仿宋简体" w:hAnsi="方正仿宋简体" w:eastAsia="方正仿宋简体" w:cs="方正仿宋简体"/>
          <w:sz w:val="32"/>
          <w:szCs w:val="32"/>
          <w:lang w:eastAsia="zh-CN"/>
        </w:rPr>
        <w:t>耕地建设与利用资金管理办法</w:t>
      </w:r>
      <w:r>
        <w:rPr>
          <w:rFonts w:hint="eastAsia" w:ascii="方正仿宋简体" w:hAnsi="方正仿宋简体" w:eastAsia="方正仿宋简体" w:cs="方正仿宋简体"/>
          <w:sz w:val="32"/>
          <w:szCs w:val="32"/>
          <w:lang w:val="en-US" w:eastAsia="zh-CN"/>
        </w:rPr>
        <w:t>&gt;</w:t>
      </w:r>
      <w:r>
        <w:rPr>
          <w:rFonts w:hint="eastAsia" w:ascii="方正仿宋简体" w:hAnsi="方正仿宋简体" w:eastAsia="方正仿宋简体" w:cs="方正仿宋简体"/>
          <w:sz w:val="32"/>
          <w:szCs w:val="32"/>
          <w:lang w:eastAsia="zh-CN"/>
        </w:rPr>
        <w:t>的通知》(云财农〔2023〕12号)和我省对应实施细则规定，以及中央明确的既定用途使用资金，确保专款专用。强化预算执行，要在规定时限内分配下达资金，并督促行业主管部门提前做好项目前期工作，确保进入2025年预算年度后，及时形成实物工作量，为资金安全高效使用打好基础。相关资金均已列入中央转移支付预算执行常态化监督范围，财政部门要在预算管理一体化系统及时接收登录预算指标，并保持“追踪”标识不变，依托预算管理一体化系统转移支付监控模块，加强项目实施跟踪调度，加快资金支出，提高转移支付资金管理使用的规范性和有效性。其中，中央耕地建设与利用资金按耕地地力保护补贴、高标准农田建设和其他支出方向追踪，中央农业产业发展资金按农机购置与应用补贴和其他支出方向追踪，相关预算指标在接收、登录和下达等各个环节应单独列示。</w:t>
      </w:r>
    </w:p>
    <w:p w14:paraId="26051996">
      <w:pPr>
        <w:numPr>
          <w:ilvl w:val="0"/>
          <w:numId w:val="0"/>
        </w:numPr>
        <w:spacing w:line="578" w:lineRule="exact"/>
        <w:ind w:firstLine="643" w:firstLineChars="200"/>
        <w:rPr>
          <w:rFonts w:hint="eastAsia" w:ascii="方正仿宋简体" w:hAnsi="方正仿宋简体" w:eastAsia="方正仿宋简体" w:cs="方正仿宋简体"/>
          <w:b w:val="0"/>
          <w:bCs w:val="0"/>
          <w:sz w:val="32"/>
          <w:szCs w:val="32"/>
          <w:lang w:eastAsia="zh-CN"/>
        </w:rPr>
      </w:pPr>
      <w:r>
        <w:rPr>
          <w:rFonts w:hint="eastAsia" w:ascii="方正黑体简体" w:hAnsi="方正黑体简体" w:eastAsia="方正黑体简体" w:cs="方正黑体简体"/>
          <w:b/>
          <w:bCs/>
          <w:sz w:val="32"/>
          <w:szCs w:val="32"/>
        </w:rPr>
        <w:t>二、</w:t>
      </w:r>
      <w:r>
        <w:rPr>
          <w:rFonts w:hint="eastAsia" w:ascii="方正黑体简体" w:hAnsi="方正黑体简体" w:eastAsia="方正黑体简体" w:cs="方正黑体简体"/>
          <w:b/>
          <w:bCs/>
          <w:sz w:val="32"/>
          <w:szCs w:val="32"/>
          <w:lang w:eastAsia="zh-CN"/>
        </w:rPr>
        <w:t>加</w:t>
      </w:r>
      <w:r>
        <w:rPr>
          <w:rFonts w:hint="eastAsia" w:ascii="方正黑体简体" w:hAnsi="方正黑体简体" w:eastAsia="方正黑体简体" w:cs="方正黑体简体"/>
          <w:b/>
          <w:bCs/>
          <w:sz w:val="32"/>
          <w:szCs w:val="32"/>
        </w:rPr>
        <w:t>强绩效管理。</w:t>
      </w:r>
      <w:r>
        <w:rPr>
          <w:rFonts w:hint="eastAsia" w:ascii="方正仿宋简体" w:hAnsi="方正仿宋简体" w:eastAsia="方正仿宋简体" w:cs="方正仿宋简体"/>
          <w:b w:val="0"/>
          <w:bCs w:val="0"/>
          <w:sz w:val="32"/>
          <w:szCs w:val="32"/>
          <w:lang w:eastAsia="zh-CN"/>
        </w:rPr>
        <w:t>资金绩效目标表待中央下达第二批资金时一并下达。应按照预算管理要求，做好本辖区内预算绩效管理工作，将绩效管理工作贯穿于绩效目标编制、绩效运行监控、绩效评价及结果运用等各环节，确保财政资金安全有效。在项目实施过程中，围绕项目绩效目标，对项目的组织实施进展情况进行动态跟踪，及时发现并纠正项目实施过程中存在的问题，确保绩效目标如期实现。年度预算执行和预算项目实施完毕后应严格按照确定的绩效目标开展部门绩效自评。省农业农村厅将适时组织开展部门绩效评价，省财政厅视情况开展财政绩效评价。</w:t>
      </w:r>
    </w:p>
    <w:p w14:paraId="06F9A9CD">
      <w:pPr>
        <w:spacing w:line="560" w:lineRule="exact"/>
        <w:ind w:firstLine="643" w:firstLineChars="200"/>
        <w:rPr>
          <w:rFonts w:hint="eastAsia" w:ascii="方正仿宋简体" w:hAnsi="方正仿宋简体" w:eastAsia="方正仿宋简体" w:cs="方正仿宋简体"/>
          <w:b w:val="0"/>
          <w:bCs w:val="0"/>
          <w:sz w:val="32"/>
          <w:szCs w:val="32"/>
          <w:lang w:val="en-US" w:eastAsia="zh-CN"/>
        </w:rPr>
      </w:pPr>
      <w:r>
        <w:rPr>
          <w:rFonts w:hint="eastAsia" w:ascii="方正黑体简体" w:hAnsi="方正黑体简体" w:eastAsia="方正黑体简体" w:cs="方正黑体简体"/>
          <w:b/>
          <w:bCs/>
          <w:sz w:val="32"/>
          <w:szCs w:val="32"/>
        </w:rPr>
        <w:t>三、实行</w:t>
      </w:r>
      <w:r>
        <w:rPr>
          <w:rFonts w:hint="eastAsia" w:ascii="方正黑体简体" w:hAnsi="方正黑体简体" w:eastAsia="方正黑体简体" w:cs="方正黑体简体"/>
          <w:b/>
          <w:bCs/>
          <w:sz w:val="32"/>
          <w:szCs w:val="32"/>
          <w:lang w:eastAsia="zh-CN"/>
        </w:rPr>
        <w:t>国家乡村振兴重点帮扶</w:t>
      </w:r>
      <w:r>
        <w:rPr>
          <w:rFonts w:hint="eastAsia" w:ascii="方正黑体简体" w:hAnsi="方正黑体简体" w:eastAsia="方正黑体简体" w:cs="方正黑体简体"/>
          <w:b/>
          <w:bCs/>
          <w:sz w:val="32"/>
          <w:szCs w:val="32"/>
        </w:rPr>
        <w:t>财政涉农资金统筹整合。</w:t>
      </w:r>
      <w:r>
        <w:rPr>
          <w:rFonts w:hint="eastAsia" w:ascii="方正仿宋简体" w:hAnsi="方正仿宋简体" w:eastAsia="方正仿宋简体" w:cs="方正仿宋简体"/>
          <w:b w:val="0"/>
          <w:bCs w:val="0"/>
          <w:sz w:val="32"/>
          <w:szCs w:val="32"/>
        </w:rPr>
        <w:t>分配国家乡村振兴重点帮扶县且纳入涉农整合的资金执行财政部等10部委印发《关于将脱贫县涉农资金统筹整合试点政策优化调整至国家乡村振兴重点帮扶县实施的通知》(</w:t>
      </w:r>
      <w:r>
        <w:rPr>
          <w:rFonts w:hint="eastAsia" w:ascii="方正仿宋简体" w:hAnsi="方正仿宋简体" w:eastAsia="方正仿宋简体" w:cs="方正仿宋简体"/>
          <w:b w:val="0"/>
          <w:bCs w:val="0"/>
          <w:sz w:val="32"/>
          <w:szCs w:val="32"/>
          <w:lang w:eastAsia="zh-CN"/>
        </w:rPr>
        <w:t>云</w:t>
      </w:r>
      <w:r>
        <w:rPr>
          <w:rFonts w:hint="eastAsia" w:ascii="方正仿宋简体" w:hAnsi="方正仿宋简体" w:eastAsia="方正仿宋简体" w:cs="方正仿宋简体"/>
          <w:b w:val="0"/>
          <w:bCs w:val="0"/>
          <w:sz w:val="32"/>
          <w:szCs w:val="32"/>
        </w:rPr>
        <w:t>财农〔2024〕1号)和省财政厅等10部门印发《关于印发</w:t>
      </w:r>
      <w:r>
        <w:rPr>
          <w:rFonts w:hint="eastAsia" w:ascii="方正仿宋简体" w:hAnsi="方正仿宋简体" w:eastAsia="方正仿宋简体" w:cs="方正仿宋简体"/>
          <w:b w:val="0"/>
          <w:bCs w:val="0"/>
          <w:sz w:val="32"/>
          <w:szCs w:val="32"/>
          <w:lang w:val="en-US" w:eastAsia="zh-CN"/>
        </w:rPr>
        <w:t>&lt;</w:t>
      </w:r>
      <w:r>
        <w:rPr>
          <w:rFonts w:hint="eastAsia" w:ascii="方正仿宋简体" w:hAnsi="方正仿宋简体" w:eastAsia="方正仿宋简体" w:cs="方正仿宋简体"/>
          <w:b w:val="0"/>
          <w:bCs w:val="0"/>
          <w:sz w:val="32"/>
          <w:szCs w:val="32"/>
        </w:rPr>
        <w:t>云南省脱贫县涉农资金统筹整合试点政策优化调整至国家乡村振兴重点帮扶县实施细则</w:t>
      </w:r>
      <w:r>
        <w:rPr>
          <w:rFonts w:hint="eastAsia" w:ascii="方正仿宋简体" w:hAnsi="方正仿宋简体" w:eastAsia="方正仿宋简体" w:cs="方正仿宋简体"/>
          <w:b w:val="0"/>
          <w:bCs w:val="0"/>
          <w:sz w:val="32"/>
          <w:szCs w:val="32"/>
          <w:lang w:val="en-US" w:eastAsia="zh-CN"/>
        </w:rPr>
        <w:t>&gt;</w:t>
      </w:r>
      <w:r>
        <w:rPr>
          <w:rFonts w:hint="eastAsia" w:ascii="方正仿宋简体" w:hAnsi="方正仿宋简体" w:eastAsia="方正仿宋简体" w:cs="方正仿宋简体"/>
          <w:b w:val="0"/>
          <w:bCs w:val="0"/>
          <w:sz w:val="32"/>
          <w:szCs w:val="32"/>
        </w:rPr>
        <w:t>的通知》(云财农〔2024〕35号)相关规定，因资金整合需调整绩效目标的，不再考核该部分资金对应的原任务完成情况，并按规定纳入相应部门绩效管理</w:t>
      </w:r>
      <w:r>
        <w:rPr>
          <w:rFonts w:hint="eastAsia" w:ascii="方正仿宋简体" w:hAnsi="方正仿宋简体" w:eastAsia="方正仿宋简体" w:cs="方正仿宋简体"/>
          <w:b w:val="0"/>
          <w:bCs w:val="0"/>
          <w:sz w:val="32"/>
          <w:szCs w:val="32"/>
          <w:lang w:eastAsia="zh-CN"/>
        </w:rPr>
        <w:t>。</w:t>
      </w:r>
    </w:p>
    <w:p w14:paraId="0F92DB03">
      <w:pPr>
        <w:numPr>
          <w:ilvl w:val="0"/>
          <w:numId w:val="0"/>
        </w:numPr>
        <w:spacing w:line="578" w:lineRule="exact"/>
        <w:rPr>
          <w:rFonts w:hint="eastAsia" w:ascii="方正仿宋简体" w:hAnsi="方正仿宋简体" w:eastAsia="方正仿宋简体" w:cs="方正仿宋简体"/>
          <w:sz w:val="28"/>
          <w:szCs w:val="28"/>
          <w:lang w:eastAsia="zh-CN" w:bidi="ar"/>
        </w:rPr>
      </w:pPr>
    </w:p>
    <w:p w14:paraId="4D551DC6">
      <w:pPr>
        <w:numPr>
          <w:ilvl w:val="0"/>
          <w:numId w:val="0"/>
        </w:numPr>
        <w:spacing w:line="578" w:lineRule="exact"/>
        <w:ind w:firstLine="560" w:firstLineChars="200"/>
        <w:rPr>
          <w:rFonts w:hint="eastAsia" w:ascii="方正仿宋简体" w:hAnsi="方正仿宋简体" w:eastAsia="方正仿宋简体" w:cs="方正仿宋简体"/>
          <w:sz w:val="28"/>
          <w:szCs w:val="28"/>
          <w:lang w:eastAsia="zh-CN" w:bidi="ar"/>
        </w:rPr>
      </w:pPr>
    </w:p>
    <w:p w14:paraId="52EB1773">
      <w:pPr>
        <w:numPr>
          <w:ilvl w:val="0"/>
          <w:numId w:val="0"/>
        </w:numPr>
        <w:spacing w:line="578" w:lineRule="exact"/>
        <w:rPr>
          <w:rFonts w:hint="eastAsia" w:ascii="方正仿宋简体" w:hAnsi="方正仿宋简体" w:eastAsia="方正仿宋简体" w:cs="方正仿宋简体"/>
          <w:sz w:val="28"/>
          <w:szCs w:val="28"/>
          <w:lang w:eastAsia="zh-CN" w:bidi="ar"/>
        </w:rPr>
      </w:pPr>
    </w:p>
    <w:p w14:paraId="2682FD8C">
      <w:pPr>
        <w:numPr>
          <w:ilvl w:val="0"/>
          <w:numId w:val="0"/>
        </w:numPr>
        <w:spacing w:line="578" w:lineRule="exact"/>
        <w:ind w:firstLine="560" w:firstLineChars="200"/>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bidi="ar"/>
        </w:rPr>
        <w:t>附件：</w:t>
      </w:r>
      <w:r>
        <w:rPr>
          <w:rFonts w:hint="eastAsia" w:ascii="方正仿宋简体" w:hAnsi="方正仿宋简体" w:eastAsia="方正仿宋简体" w:cs="方正仿宋简体"/>
          <w:sz w:val="28"/>
          <w:szCs w:val="28"/>
          <w:lang w:val="en-US" w:eastAsia="zh-CN" w:bidi="ar"/>
        </w:rPr>
        <w:t>1.双柏县</w:t>
      </w:r>
      <w:r>
        <w:rPr>
          <w:rFonts w:hint="eastAsia" w:ascii="方正仿宋简体" w:hAnsi="方正仿宋简体" w:eastAsia="方正仿宋简体" w:cs="方正仿宋简体"/>
          <w:sz w:val="28"/>
          <w:szCs w:val="28"/>
          <w:lang w:eastAsia="zh-CN"/>
        </w:rPr>
        <w:t>2025年中央农业相关转移支付资金分配表</w:t>
      </w:r>
    </w:p>
    <w:p w14:paraId="225ABE52">
      <w:pPr>
        <w:numPr>
          <w:ilvl w:val="0"/>
          <w:numId w:val="0"/>
        </w:numPr>
        <w:spacing w:line="578" w:lineRule="exact"/>
        <w:ind w:firstLine="1400" w:firstLineChars="500"/>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val="en-US" w:eastAsia="zh-CN" w:bidi="ar"/>
        </w:rPr>
        <w:t>2.双柏县</w:t>
      </w:r>
      <w:r>
        <w:rPr>
          <w:rFonts w:hint="eastAsia" w:ascii="方正仿宋简体" w:hAnsi="方正仿宋简体" w:eastAsia="方正仿宋简体" w:cs="方正仿宋简体"/>
          <w:sz w:val="28"/>
          <w:szCs w:val="28"/>
          <w:lang w:eastAsia="zh-CN"/>
        </w:rPr>
        <w:t>2025年中央农业相关转移支付</w:t>
      </w:r>
      <w:bookmarkStart w:id="0" w:name="_GoBack"/>
      <w:bookmarkEnd w:id="0"/>
      <w:r>
        <w:rPr>
          <w:rFonts w:hint="eastAsia" w:ascii="方正仿宋简体" w:hAnsi="方正仿宋简体" w:eastAsia="方正仿宋简体" w:cs="方正仿宋简体"/>
          <w:sz w:val="28"/>
          <w:szCs w:val="28"/>
          <w:lang w:eastAsia="zh-CN"/>
        </w:rPr>
        <w:t>资金绩效目标表</w:t>
      </w:r>
    </w:p>
    <w:p w14:paraId="44B052C2">
      <w:pPr>
        <w:numPr>
          <w:ilvl w:val="0"/>
          <w:numId w:val="0"/>
        </w:numPr>
        <w:spacing w:line="578" w:lineRule="exact"/>
        <w:ind w:left="1399" w:leftChars="133" w:hanging="1120" w:hangingChars="400"/>
        <w:rPr>
          <w:rFonts w:hint="eastAsia" w:ascii="方正仿宋简体" w:hAnsi="方正仿宋简体" w:eastAsia="方正仿宋简体" w:cs="方正仿宋简体"/>
          <w:sz w:val="28"/>
          <w:szCs w:val="28"/>
          <w:lang w:eastAsia="zh-CN"/>
        </w:rPr>
      </w:pPr>
    </w:p>
    <w:p w14:paraId="373142EB">
      <w:pPr>
        <w:numPr>
          <w:ilvl w:val="0"/>
          <w:numId w:val="0"/>
        </w:numPr>
        <w:spacing w:line="578" w:lineRule="exact"/>
        <w:ind w:left="1399" w:leftChars="133" w:hanging="1120" w:hangingChars="400"/>
        <w:rPr>
          <w:rFonts w:hint="eastAsia" w:ascii="方正仿宋简体" w:hAnsi="方正仿宋简体" w:eastAsia="方正仿宋简体" w:cs="方正仿宋简体"/>
          <w:sz w:val="28"/>
          <w:szCs w:val="28"/>
          <w:lang w:val="en-US" w:eastAsia="zh-CN" w:bidi="ar"/>
        </w:rPr>
      </w:pPr>
      <w:r>
        <w:rPr>
          <w:rFonts w:hint="eastAsia" w:ascii="方正仿宋简体" w:hAnsi="方正仿宋简体" w:eastAsia="方正仿宋简体" w:cs="方正仿宋简体"/>
          <w:sz w:val="28"/>
          <w:szCs w:val="28"/>
          <w:lang w:val="en-US" w:eastAsia="zh-CN" w:bidi="ar"/>
        </w:rPr>
        <w:t xml:space="preserve">        </w:t>
      </w:r>
    </w:p>
    <w:p w14:paraId="7DCFD6CC">
      <w:pPr>
        <w:numPr>
          <w:ilvl w:val="0"/>
          <w:numId w:val="0"/>
        </w:numPr>
        <w:spacing w:line="578" w:lineRule="exact"/>
        <w:rPr>
          <w:rFonts w:hint="eastAsia" w:ascii="方正仿宋_GBK" w:hAnsi="方正仿宋_GBK" w:eastAsia="方正仿宋_GBK" w:cs="方正仿宋_GBK"/>
          <w:sz w:val="28"/>
          <w:szCs w:val="28"/>
          <w:lang w:val="en-US" w:eastAsia="zh-CN" w:bidi="ar"/>
        </w:rPr>
      </w:pPr>
      <w:r>
        <w:rPr>
          <w:rFonts w:hint="eastAsia" w:ascii="方正仿宋_GBK" w:hAnsi="方正仿宋_GBK" w:eastAsia="方正仿宋_GBK" w:cs="方正仿宋_GBK"/>
          <w:sz w:val="28"/>
          <w:szCs w:val="28"/>
          <w:lang w:val="en-US" w:eastAsia="zh-CN" w:bidi="ar"/>
        </w:rPr>
        <w:t xml:space="preserve">   </w:t>
      </w:r>
    </w:p>
    <w:p w14:paraId="66B414C9">
      <w:pPr>
        <w:numPr>
          <w:ilvl w:val="0"/>
          <w:numId w:val="0"/>
        </w:numPr>
        <w:tabs>
          <w:tab w:val="right" w:pos="8844"/>
        </w:tabs>
        <w:spacing w:line="500" w:lineRule="exac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p>
    <w:p w14:paraId="119026CD">
      <w:pPr>
        <w:numPr>
          <w:ilvl w:val="0"/>
          <w:numId w:val="0"/>
        </w:numPr>
        <w:tabs>
          <w:tab w:val="right" w:pos="8844"/>
        </w:tabs>
        <w:spacing w:line="500" w:lineRule="exact"/>
        <w:rPr>
          <w:rFonts w:hint="eastAsia" w:ascii="方正仿宋_GBK" w:hAnsi="方正仿宋_GBK" w:eastAsia="方正仿宋_GBK" w:cs="方正仿宋_GBK"/>
          <w:sz w:val="32"/>
          <w:szCs w:val="32"/>
          <w:lang w:val="en-US" w:eastAsia="zh-CN"/>
        </w:rPr>
      </w:pPr>
    </w:p>
    <w:p w14:paraId="3807E5B4">
      <w:pPr>
        <w:numPr>
          <w:ilvl w:val="0"/>
          <w:numId w:val="0"/>
        </w:numPr>
        <w:tabs>
          <w:tab w:val="right" w:pos="8844"/>
        </w:tabs>
        <w:spacing w:line="500" w:lineRule="exact"/>
        <w:rPr>
          <w:rFonts w:hint="eastAsia" w:ascii="方正仿宋_GBK" w:hAnsi="方正仿宋_GBK" w:eastAsia="方正仿宋_GBK" w:cs="方正仿宋_GBK"/>
          <w:sz w:val="32"/>
          <w:szCs w:val="32"/>
          <w:lang w:val="en-US" w:eastAsia="zh-CN"/>
        </w:rPr>
      </w:pPr>
    </w:p>
    <w:p w14:paraId="164FE758">
      <w:pPr>
        <w:numPr>
          <w:ilvl w:val="0"/>
          <w:numId w:val="0"/>
        </w:numPr>
        <w:tabs>
          <w:tab w:val="right" w:pos="8844"/>
        </w:tabs>
        <w:spacing w:line="500" w:lineRule="exact"/>
        <w:rPr>
          <w:rFonts w:hint="eastAsia" w:ascii="方正仿宋_GBK" w:hAnsi="方正仿宋_GBK" w:eastAsia="方正仿宋_GBK" w:cs="方正仿宋_GBK"/>
          <w:sz w:val="32"/>
          <w:szCs w:val="32"/>
          <w:lang w:val="en-US" w:eastAsia="zh-CN"/>
        </w:rPr>
      </w:pPr>
    </w:p>
    <w:p w14:paraId="2BE6A90A">
      <w:pPr>
        <w:numPr>
          <w:ilvl w:val="0"/>
          <w:numId w:val="0"/>
        </w:numPr>
        <w:tabs>
          <w:tab w:val="right" w:pos="8844"/>
        </w:tabs>
        <w:spacing w:line="500" w:lineRule="exact"/>
        <w:rPr>
          <w:rFonts w:hint="eastAsia" w:ascii="方正仿宋_GBK" w:hAnsi="方正仿宋_GBK" w:eastAsia="方正仿宋_GBK" w:cs="方正仿宋_GBK"/>
          <w:sz w:val="32"/>
          <w:szCs w:val="32"/>
          <w:lang w:val="en-US" w:eastAsia="zh-CN"/>
        </w:rPr>
      </w:pPr>
    </w:p>
    <w:p w14:paraId="1FB1B542">
      <w:pPr>
        <w:numPr>
          <w:ilvl w:val="0"/>
          <w:numId w:val="0"/>
        </w:numPr>
        <w:tabs>
          <w:tab w:val="right" w:pos="8844"/>
        </w:tabs>
        <w:spacing w:line="500" w:lineRule="exact"/>
        <w:rPr>
          <w:rFonts w:hint="eastAsia" w:ascii="方正仿宋_GBK" w:hAnsi="方正仿宋_GBK" w:eastAsia="方正仿宋_GBK" w:cs="方正仿宋_GBK"/>
          <w:sz w:val="32"/>
          <w:szCs w:val="32"/>
          <w:lang w:val="en-US" w:eastAsia="zh-CN"/>
        </w:rPr>
      </w:pPr>
    </w:p>
    <w:p w14:paraId="36E8807D">
      <w:pPr>
        <w:numPr>
          <w:ilvl w:val="0"/>
          <w:numId w:val="0"/>
        </w:numPr>
        <w:tabs>
          <w:tab w:val="right" w:pos="8844"/>
        </w:tabs>
        <w:spacing w:line="500" w:lineRule="exact"/>
        <w:ind w:firstLine="5440" w:firstLineChars="17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双柏县财政局</w:t>
      </w:r>
    </w:p>
    <w:p w14:paraId="44D17683">
      <w:pPr>
        <w:tabs>
          <w:tab w:val="left" w:pos="7770"/>
          <w:tab w:val="right" w:pos="8844"/>
        </w:tabs>
        <w:spacing w:line="500" w:lineRule="exact"/>
        <w:ind w:firstLine="5440" w:firstLineChars="17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rPr>
        <w:t>日</w:t>
      </w:r>
    </w:p>
    <w:p w14:paraId="21F32F74">
      <w:pPr>
        <w:tabs>
          <w:tab w:val="left" w:pos="7770"/>
          <w:tab w:val="right" w:pos="8844"/>
        </w:tabs>
        <w:spacing w:line="520" w:lineRule="exact"/>
        <w:ind w:firstLine="4337" w:firstLineChars="135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pict>
          <v:line id="直线 24" o:spid="_x0000_s1028" o:spt="20" style="position:absolute;left:0pt;margin-left:0pt;margin-top:16.45pt;height:0pt;width:451.5pt;z-index:251661312;mso-width-relative:page;mso-height-relative:page;" coordsize="21600,21600">
            <v:path arrowok="t"/>
            <v:fill focussize="0,0"/>
            <v:stroke/>
            <v:imagedata o:title=""/>
            <o:lock v:ext="edit"/>
          </v:line>
        </w:pict>
      </w:r>
    </w:p>
    <w:p w14:paraId="5205517A">
      <w:pPr>
        <w:tabs>
          <w:tab w:val="right" w:pos="8844"/>
        </w:tabs>
        <w:spacing w:line="440" w:lineRule="exact"/>
        <w:ind w:firstLine="156" w:firstLineChars="4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发：预算股 、国库股。</w:t>
      </w:r>
    </w:p>
    <w:p w14:paraId="68041847">
      <w:pPr>
        <w:spacing w:line="4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pict>
          <v:line id="直线 25" o:spid="_x0000_s1030" o:spt="20" style="position:absolute;left:0pt;margin-left:3.75pt;margin-top:0pt;height:0pt;width:451.5pt;z-index:251663360;mso-width-relative:page;mso-height-relative:page;" coordsize="21600,21600">
            <v:path arrowok="t"/>
            <v:fill focussize="0,0"/>
            <v:stroke/>
            <v:imagedata o:title=""/>
            <o:lock v:ext="edit"/>
          </v:line>
        </w:pict>
      </w:r>
      <w:r>
        <w:rPr>
          <w:rFonts w:hint="eastAsia" w:ascii="方正仿宋_GBK" w:hAnsi="方正仿宋_GBK" w:eastAsia="方正仿宋_GBK" w:cs="方正仿宋_GBK"/>
          <w:sz w:val="32"/>
          <w:szCs w:val="32"/>
        </w:rPr>
        <w:t xml:space="preserve"> 双柏县财政局农业农村股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rPr>
        <w:t>日印制</w:t>
      </w:r>
    </w:p>
    <w:p w14:paraId="48F33D04">
      <w:pPr>
        <w:rPr>
          <w:rFonts w:ascii="方正仿宋简体" w:eastAsia="方正仿宋简体"/>
        </w:rPr>
      </w:pPr>
      <w:r>
        <w:rPr>
          <w:rFonts w:ascii="方正仿宋简体" w:hAnsi="仿宋_GB2312" w:eastAsia="方正仿宋简体" w:cs="仿宋_GB2312"/>
          <w:sz w:val="32"/>
          <w:szCs w:val="32"/>
        </w:rPr>
        <w:pict>
          <v:line id="直线 26" o:spid="_x0000_s1029" o:spt="20" style="position:absolute;left:0pt;margin-left:0pt;margin-top:5.95pt;height:0pt;width:451.5pt;z-index:251662336;mso-width-relative:page;mso-height-relative:page;" coordsize="21600,21600">
            <v:path arrowok="t"/>
            <v:fill focussize="0,0"/>
            <v:stroke/>
            <v:imagedata o:title=""/>
            <o:lock v:ext="edit"/>
          </v:line>
        </w:pict>
      </w:r>
    </w:p>
    <w:sectPr>
      <w:pgSz w:w="11906" w:h="16838"/>
      <w:pgMar w:top="1440" w:right="1701" w:bottom="1134" w:left="192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cwYWQ5NDU2YTY5ODI0NDEyN2E2NWI0OWJkYTQ0YjkifQ=="/>
  </w:docVars>
  <w:rsids>
    <w:rsidRoot w:val="00773F7C"/>
    <w:rsid w:val="00006391"/>
    <w:rsid w:val="00025D73"/>
    <w:rsid w:val="0002661A"/>
    <w:rsid w:val="00077BAB"/>
    <w:rsid w:val="000B19D8"/>
    <w:rsid w:val="001168BE"/>
    <w:rsid w:val="00124DAD"/>
    <w:rsid w:val="00157284"/>
    <w:rsid w:val="001923DF"/>
    <w:rsid w:val="001D1A89"/>
    <w:rsid w:val="001D6FAF"/>
    <w:rsid w:val="001F66D0"/>
    <w:rsid w:val="002E758E"/>
    <w:rsid w:val="002F74B8"/>
    <w:rsid w:val="0030270A"/>
    <w:rsid w:val="00302710"/>
    <w:rsid w:val="00304183"/>
    <w:rsid w:val="00353F82"/>
    <w:rsid w:val="00377B7B"/>
    <w:rsid w:val="00386460"/>
    <w:rsid w:val="003B1CBF"/>
    <w:rsid w:val="003C0FFC"/>
    <w:rsid w:val="003C4775"/>
    <w:rsid w:val="003C7DA3"/>
    <w:rsid w:val="005250AD"/>
    <w:rsid w:val="00562EBE"/>
    <w:rsid w:val="005C5FEC"/>
    <w:rsid w:val="005F4B5B"/>
    <w:rsid w:val="00600E77"/>
    <w:rsid w:val="00607F36"/>
    <w:rsid w:val="00697ECF"/>
    <w:rsid w:val="006C719F"/>
    <w:rsid w:val="007155D8"/>
    <w:rsid w:val="00745CAD"/>
    <w:rsid w:val="00773F7C"/>
    <w:rsid w:val="007A625A"/>
    <w:rsid w:val="007F1751"/>
    <w:rsid w:val="00806A47"/>
    <w:rsid w:val="00831844"/>
    <w:rsid w:val="00845552"/>
    <w:rsid w:val="00854019"/>
    <w:rsid w:val="00872B98"/>
    <w:rsid w:val="008752E9"/>
    <w:rsid w:val="009343DF"/>
    <w:rsid w:val="009517F7"/>
    <w:rsid w:val="009B0F74"/>
    <w:rsid w:val="009D2E75"/>
    <w:rsid w:val="009F21F0"/>
    <w:rsid w:val="00A03BF0"/>
    <w:rsid w:val="00A61540"/>
    <w:rsid w:val="00A96D6D"/>
    <w:rsid w:val="00B07B71"/>
    <w:rsid w:val="00B154CB"/>
    <w:rsid w:val="00B34018"/>
    <w:rsid w:val="00B8152B"/>
    <w:rsid w:val="00B93366"/>
    <w:rsid w:val="00BA0A1F"/>
    <w:rsid w:val="00BB2B53"/>
    <w:rsid w:val="00BD6DD5"/>
    <w:rsid w:val="00BD79D8"/>
    <w:rsid w:val="00BE0F08"/>
    <w:rsid w:val="00BE3859"/>
    <w:rsid w:val="00C6718D"/>
    <w:rsid w:val="00C7405B"/>
    <w:rsid w:val="00CE2C72"/>
    <w:rsid w:val="00D1723E"/>
    <w:rsid w:val="00D346AD"/>
    <w:rsid w:val="00D911AE"/>
    <w:rsid w:val="00E21359"/>
    <w:rsid w:val="00E31288"/>
    <w:rsid w:val="00E7384B"/>
    <w:rsid w:val="00E747AC"/>
    <w:rsid w:val="00EA154A"/>
    <w:rsid w:val="00EA732C"/>
    <w:rsid w:val="00EE1030"/>
    <w:rsid w:val="00EE7900"/>
    <w:rsid w:val="00EF2C4B"/>
    <w:rsid w:val="00F27290"/>
    <w:rsid w:val="00F4297C"/>
    <w:rsid w:val="00F948E5"/>
    <w:rsid w:val="09C01D0A"/>
    <w:rsid w:val="0BB97776"/>
    <w:rsid w:val="0D8033ED"/>
    <w:rsid w:val="0F761F1A"/>
    <w:rsid w:val="118B6992"/>
    <w:rsid w:val="11F2656E"/>
    <w:rsid w:val="12E01C89"/>
    <w:rsid w:val="144F1679"/>
    <w:rsid w:val="16111D20"/>
    <w:rsid w:val="1C1B65EC"/>
    <w:rsid w:val="1C832314"/>
    <w:rsid w:val="1CBF6000"/>
    <w:rsid w:val="200272BB"/>
    <w:rsid w:val="217E264F"/>
    <w:rsid w:val="236E0C19"/>
    <w:rsid w:val="27400C4D"/>
    <w:rsid w:val="27F25ED0"/>
    <w:rsid w:val="2AE632C3"/>
    <w:rsid w:val="328879E2"/>
    <w:rsid w:val="36455E3C"/>
    <w:rsid w:val="366E4476"/>
    <w:rsid w:val="3D0131E6"/>
    <w:rsid w:val="410D6251"/>
    <w:rsid w:val="4244723C"/>
    <w:rsid w:val="44D749F6"/>
    <w:rsid w:val="48E278D1"/>
    <w:rsid w:val="49541491"/>
    <w:rsid w:val="4F8A673E"/>
    <w:rsid w:val="4FCE24CD"/>
    <w:rsid w:val="509339FE"/>
    <w:rsid w:val="52FF0E3D"/>
    <w:rsid w:val="56636203"/>
    <w:rsid w:val="5CE2642B"/>
    <w:rsid w:val="5F877CC0"/>
    <w:rsid w:val="63BF441F"/>
    <w:rsid w:val="65583781"/>
    <w:rsid w:val="6641248E"/>
    <w:rsid w:val="66BA2DFA"/>
    <w:rsid w:val="6A1C62C2"/>
    <w:rsid w:val="6BC67609"/>
    <w:rsid w:val="6C08439B"/>
    <w:rsid w:val="701666D2"/>
    <w:rsid w:val="74353894"/>
    <w:rsid w:val="758F4385"/>
    <w:rsid w:val="7D900D48"/>
    <w:rsid w:val="7EA5295D"/>
    <w:rsid w:val="7EE265CC"/>
    <w:rsid w:val="7F642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日期 Char"/>
    <w:basedOn w:val="6"/>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Info spid="_x0000_s1028"/>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1185</Words>
  <Characters>1258</Characters>
  <Lines>2</Lines>
  <Paragraphs>1</Paragraphs>
  <TotalTime>1</TotalTime>
  <ScaleCrop>false</ScaleCrop>
  <LinksUpToDate>false</LinksUpToDate>
  <CharactersWithSpaces>1323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2019-06-19T09:33:00Z</dcterms:created>
  <dc:creator>Sky123.Org</dc:creator>
  <cp:lastModifiedBy>Administrator</cp:lastModifiedBy>
  <cp:lastPrinted>2022-10-09T03:07:00Z</cp:lastPrinted>
  <dcterms:modified xsi:type="dcterms:W3CDTF">2025-03-12T02:06:56Z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C6281807796C4215A529B698EBE99CC3</vt:lpwstr>
  </property>
  <property fmtid="{D5CDD505-2E9C-101B-9397-08002B2CF9AE}" pid="4" name="commondata">
    <vt:lpwstr>eyJoZGlkIjoiMDcwYWQ5NDU2YTY5ODI0NDEyN2E2NWI0OWJkYTQ0YjkifQ==</vt:lpwstr>
  </property>
  <property fmtid="{D5CDD505-2E9C-101B-9397-08002B2CF9AE}" pid="5" name="KSOTemplateDocerSaveRecord">
    <vt:lpwstr>eyJoZGlkIjoiMDcwYWQ5NDU2YTY5ODI0NDEyN2E2NWI0OWJkYTQ0YjkifQ==</vt:lpwstr>
  </property>
</Properties>
</file>